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F85516" w14:paraId="72E9FEA8" w14:textId="23BC2925">
      <w:pPr>
        <w:rPr>
          <w:rFonts w:ascii="Times New Roman" w:hAnsi="Times New Roman" w:cs="Times New Roman"/>
          <w:sz w:val="24"/>
          <w:szCs w:val="24"/>
        </w:rPr>
      </w:pPr>
      <w:r>
        <w:rPr>
          <w:rFonts w:ascii="Times New Roman" w:hAnsi="Times New Roman" w:cs="Times New Roman"/>
          <w:sz w:val="24"/>
          <w:szCs w:val="24"/>
        </w:rPr>
        <w:t>Student’s Name:</w:t>
      </w:r>
      <w:bookmarkStart w:id="0" w:name="_GoBack"/>
      <w:bookmarkEnd w:id="0"/>
    </w:p>
    <w:p w:rsidR="001816CA" w14:paraId="04834424" w14:textId="213CAB63">
      <w:pPr>
        <w:rPr>
          <w:rFonts w:ascii="Times New Roman" w:hAnsi="Times New Roman" w:cs="Times New Roman"/>
          <w:sz w:val="24"/>
          <w:szCs w:val="24"/>
        </w:rPr>
      </w:pPr>
      <w:r>
        <w:rPr>
          <w:rFonts w:ascii="Times New Roman" w:hAnsi="Times New Roman" w:cs="Times New Roman"/>
          <w:sz w:val="24"/>
          <w:szCs w:val="24"/>
        </w:rPr>
        <w:t>Professor’s Name:</w:t>
      </w:r>
    </w:p>
    <w:p w:rsidR="001816CA" w14:paraId="2F87BA6D" w14:textId="6112C274">
      <w:pPr>
        <w:rPr>
          <w:rFonts w:ascii="Times New Roman" w:hAnsi="Times New Roman" w:cs="Times New Roman"/>
          <w:sz w:val="24"/>
          <w:szCs w:val="24"/>
        </w:rPr>
      </w:pPr>
      <w:r>
        <w:rPr>
          <w:rFonts w:ascii="Times New Roman" w:hAnsi="Times New Roman" w:cs="Times New Roman"/>
          <w:sz w:val="24"/>
          <w:szCs w:val="24"/>
        </w:rPr>
        <w:t>Course:</w:t>
      </w:r>
    </w:p>
    <w:p w:rsidR="001816CA" w:rsidP="001816CA" w14:paraId="27BACB30" w14:textId="1298DF70">
      <w:pPr>
        <w:rPr>
          <w:rFonts w:ascii="Times New Roman" w:hAnsi="Times New Roman" w:cs="Times New Roman"/>
          <w:sz w:val="24"/>
          <w:szCs w:val="24"/>
        </w:rPr>
      </w:pPr>
      <w:r>
        <w:rPr>
          <w:rFonts w:ascii="Times New Roman" w:hAnsi="Times New Roman" w:cs="Times New Roman"/>
          <w:sz w:val="24"/>
          <w:szCs w:val="24"/>
        </w:rPr>
        <w:t>Date:</w:t>
      </w:r>
    </w:p>
    <w:p w:rsidR="00AE050B" w:rsidP="00317266" w14:paraId="2E5EA842" w14:textId="734F4D55">
      <w:pPr>
        <w:jc w:val="center"/>
        <w:rPr>
          <w:rFonts w:ascii="Times New Roman" w:hAnsi="Times New Roman" w:cs="Times New Roman"/>
          <w:b/>
          <w:bCs/>
          <w:color w:val="202124"/>
          <w:sz w:val="24"/>
          <w:szCs w:val="24"/>
          <w:shd w:val="clear" w:color="auto" w:fill="FFFFFF"/>
        </w:rPr>
      </w:pPr>
      <w:r w:rsidRPr="00317266">
        <w:rPr>
          <w:rFonts w:ascii="Times New Roman" w:hAnsi="Times New Roman" w:cs="Times New Roman"/>
          <w:b/>
          <w:bCs/>
          <w:color w:val="202124"/>
          <w:sz w:val="24"/>
          <w:szCs w:val="24"/>
          <w:shd w:val="clear" w:color="auto" w:fill="FFFFFF"/>
        </w:rPr>
        <w:t>"Tableau I"</w:t>
      </w:r>
    </w:p>
    <w:p w:rsidR="00740710" w:rsidRPr="00740710" w:rsidP="006D68B5" w14:paraId="4EB46D98" w14:textId="77777777">
      <w:pPr>
        <w:ind w:firstLine="720"/>
        <w:rPr>
          <w:rFonts w:ascii="Times New Roman" w:hAnsi="Times New Roman" w:cs="Times New Roman"/>
          <w:sz w:val="24"/>
          <w:szCs w:val="24"/>
        </w:rPr>
      </w:pPr>
      <w:r w:rsidRPr="00740710">
        <w:rPr>
          <w:rFonts w:ascii="Times New Roman" w:hAnsi="Times New Roman" w:cs="Times New Roman"/>
          <w:sz w:val="24"/>
          <w:szCs w:val="24"/>
        </w:rPr>
        <w:t>Tableau I was produced by Piet Mondrian in 1921, 2 years after he moved to Pari</w:t>
      </w:r>
      <w:r>
        <w:rPr>
          <w:rFonts w:ascii="Times New Roman" w:hAnsi="Times New Roman" w:cs="Times New Roman"/>
          <w:sz w:val="24"/>
          <w:szCs w:val="24"/>
        </w:rPr>
        <w:t xml:space="preserve">s from his homeland Netherland. </w:t>
      </w:r>
      <w:r w:rsidRPr="00740710">
        <w:rPr>
          <w:rFonts w:ascii="Times New Roman" w:hAnsi="Times New Roman" w:cs="Times New Roman"/>
          <w:sz w:val="24"/>
          <w:szCs w:val="24"/>
        </w:rPr>
        <w:t>Mondrian started a new era of inventiveness and free expression after arriving in Paris. His paintings progressively became far more conceptual and went away from the typical realist meth</w:t>
      </w:r>
      <w:r>
        <w:rPr>
          <w:rFonts w:ascii="Times New Roman" w:hAnsi="Times New Roman" w:cs="Times New Roman"/>
          <w:sz w:val="24"/>
          <w:szCs w:val="24"/>
        </w:rPr>
        <w:t xml:space="preserve">od he was tutored in in childhood. Tableau </w:t>
      </w:r>
      <w:r w:rsidRPr="00740710">
        <w:rPr>
          <w:rFonts w:ascii="Times New Roman" w:hAnsi="Times New Roman" w:cs="Times New Roman"/>
          <w:sz w:val="24"/>
          <w:szCs w:val="24"/>
        </w:rPr>
        <w:t>I is one of Mondrian's first works that demonstrate his newer technique so vividly, and as a result, it is a significant work.</w:t>
      </w:r>
      <w:r>
        <w:rPr>
          <w:rFonts w:ascii="Times New Roman" w:hAnsi="Times New Roman" w:cs="Times New Roman"/>
          <w:sz w:val="24"/>
          <w:szCs w:val="24"/>
        </w:rPr>
        <w:t xml:space="preserve"> </w:t>
      </w:r>
      <w:r w:rsidRPr="00740710">
        <w:rPr>
          <w:rFonts w:ascii="Times New Roman" w:hAnsi="Times New Roman" w:cs="Times New Roman"/>
          <w:sz w:val="24"/>
          <w:szCs w:val="24"/>
        </w:rPr>
        <w:t>It captures Mondrian's innovative art style and marks a pivotal moment in his maintenance and advancement into the colorful, trailblazing artist he is known for today.</w:t>
      </w:r>
    </w:p>
    <w:p w:rsidR="00740710" w:rsidRPr="00740710" w:rsidP="00740710" w14:paraId="7ADD3B54" w14:textId="78F0C871">
      <w:pPr>
        <w:rPr>
          <w:rFonts w:ascii="Times New Roman" w:hAnsi="Times New Roman" w:cs="Times New Roman"/>
          <w:sz w:val="24"/>
          <w:szCs w:val="24"/>
        </w:rPr>
      </w:pPr>
      <w:r w:rsidRPr="00740710">
        <w:rPr>
          <w:rFonts w:ascii="Times New Roman" w:hAnsi="Times New Roman" w:cs="Times New Roman"/>
          <w:sz w:val="24"/>
          <w:szCs w:val="24"/>
        </w:rPr>
        <w:t>This is demonstrated in Tableau I by using architectural blocks, well-delineated black edges, and brick, primary colors</w:t>
      </w:r>
      <w:r w:rsidR="000D2353">
        <w:rPr>
          <w:rFonts w:ascii="Times New Roman" w:hAnsi="Times New Roman" w:cs="Times New Roman"/>
          <w:sz w:val="24"/>
          <w:szCs w:val="24"/>
        </w:rPr>
        <w:t xml:space="preserve"> </w:t>
      </w:r>
      <w:r w:rsidR="000D2353">
        <w:rPr>
          <w:rFonts w:ascii="Times New Roman" w:hAnsi="Times New Roman" w:cs="Times New Roman"/>
          <w:sz w:val="24"/>
          <w:szCs w:val="24"/>
        </w:rPr>
        <w:t>(</w:t>
      </w:r>
      <w:r w:rsidR="000D2353">
        <w:rPr>
          <w:rFonts w:ascii="Times New Roman" w:hAnsi="Times New Roman" w:cs="Times New Roman"/>
          <w:color w:val="222222"/>
          <w:sz w:val="24"/>
          <w:szCs w:val="24"/>
          <w:shd w:val="clear" w:color="auto" w:fill="FFFFFF"/>
        </w:rPr>
        <w:t>Bockman, pg.234)</w:t>
      </w:r>
      <w:r w:rsidRPr="00740710">
        <w:rPr>
          <w:rFonts w:ascii="Times New Roman" w:hAnsi="Times New Roman" w:cs="Times New Roman"/>
          <w:sz w:val="24"/>
          <w:szCs w:val="24"/>
        </w:rPr>
        <w:t>.</w:t>
      </w:r>
    </w:p>
    <w:p w:rsidR="00DA3E0C" w:rsidP="006D68B5" w14:paraId="36F38D13" w14:textId="568FA7DC">
      <w:pPr>
        <w:ind w:firstLine="720"/>
        <w:rPr>
          <w:rFonts w:ascii="Times New Roman" w:hAnsi="Times New Roman" w:cs="Times New Roman"/>
          <w:sz w:val="24"/>
          <w:szCs w:val="24"/>
        </w:rPr>
      </w:pPr>
      <w:r w:rsidRPr="00740710">
        <w:rPr>
          <w:rFonts w:ascii="Times New Roman" w:hAnsi="Times New Roman" w:cs="Times New Roman"/>
          <w:sz w:val="24"/>
          <w:szCs w:val="24"/>
        </w:rPr>
        <w:t xml:space="preserve">The bricks in the picture are all different sizes and colors, but they come together to make a single work </w:t>
      </w:r>
      <w:r>
        <w:rPr>
          <w:rFonts w:ascii="Times New Roman" w:hAnsi="Times New Roman" w:cs="Times New Roman"/>
          <w:sz w:val="24"/>
          <w:szCs w:val="24"/>
        </w:rPr>
        <w:t xml:space="preserve">of art. </w:t>
      </w:r>
      <w:r w:rsidRPr="00740710">
        <w:rPr>
          <w:rFonts w:ascii="Times New Roman" w:hAnsi="Times New Roman" w:cs="Times New Roman"/>
          <w:sz w:val="24"/>
          <w:szCs w:val="24"/>
        </w:rPr>
        <w:t>The use of transverse and longitudinal black lines emphasizes the designs' individuality as well as their natural integration.</w:t>
      </w:r>
      <w:r>
        <w:rPr>
          <w:rFonts w:ascii="Times New Roman" w:hAnsi="Times New Roman" w:cs="Times New Roman"/>
          <w:sz w:val="24"/>
          <w:szCs w:val="24"/>
        </w:rPr>
        <w:t xml:space="preserve"> </w:t>
      </w:r>
      <w:r w:rsidRPr="00740710">
        <w:rPr>
          <w:rFonts w:ascii="Times New Roman" w:hAnsi="Times New Roman" w:cs="Times New Roman"/>
          <w:sz w:val="24"/>
          <w:szCs w:val="24"/>
        </w:rPr>
        <w:t>Mondrian's use of primary colors demonstrates that he is alluding to the notion of starting from the ground up, much as primary colors are essential to each and every color gene</w:t>
      </w:r>
      <w:r>
        <w:rPr>
          <w:rFonts w:ascii="Times New Roman" w:hAnsi="Times New Roman" w:cs="Times New Roman"/>
          <w:sz w:val="24"/>
          <w:szCs w:val="24"/>
        </w:rPr>
        <w:t>rated throughout every artwork</w:t>
      </w:r>
      <w:r w:rsidR="000F5E61">
        <w:rPr>
          <w:rFonts w:ascii="Times New Roman" w:hAnsi="Times New Roman" w:cs="Times New Roman"/>
          <w:sz w:val="24"/>
          <w:szCs w:val="24"/>
        </w:rPr>
        <w:t xml:space="preserve"> </w:t>
      </w:r>
      <w:r w:rsidR="000F5E61">
        <w:rPr>
          <w:rFonts w:ascii="Times New Roman" w:hAnsi="Times New Roman" w:cs="Times New Roman"/>
          <w:sz w:val="24"/>
          <w:szCs w:val="24"/>
        </w:rPr>
        <w:t>(</w:t>
      </w:r>
      <w:r w:rsidRPr="00C316D9" w:rsidR="000F5E61">
        <w:rPr>
          <w:rFonts w:ascii="Times New Roman" w:hAnsi="Times New Roman" w:cs="Times New Roman"/>
          <w:color w:val="222222"/>
          <w:sz w:val="24"/>
          <w:szCs w:val="24"/>
          <w:shd w:val="clear" w:color="auto" w:fill="FFFFFF"/>
        </w:rPr>
        <w:t>Montégu,</w:t>
      </w:r>
      <w:r w:rsidR="000F5E61">
        <w:rPr>
          <w:rFonts w:ascii="Times New Roman" w:hAnsi="Times New Roman" w:cs="Times New Roman"/>
          <w:color w:val="222222"/>
          <w:sz w:val="24"/>
          <w:szCs w:val="24"/>
          <w:shd w:val="clear" w:color="auto" w:fill="FFFFFF"/>
        </w:rPr>
        <w:t xml:space="preserve"> pg. 73)</w:t>
      </w:r>
      <w:r>
        <w:rPr>
          <w:rFonts w:ascii="Times New Roman" w:hAnsi="Times New Roman" w:cs="Times New Roman"/>
          <w:sz w:val="24"/>
          <w:szCs w:val="24"/>
        </w:rPr>
        <w:t>.</w:t>
      </w:r>
      <w:r w:rsidR="000F5E61">
        <w:rPr>
          <w:rFonts w:ascii="Times New Roman" w:hAnsi="Times New Roman" w:cs="Times New Roman"/>
          <w:sz w:val="24"/>
          <w:szCs w:val="24"/>
        </w:rPr>
        <w:t xml:space="preserve"> </w:t>
      </w:r>
      <w:r>
        <w:rPr>
          <w:rFonts w:ascii="Times New Roman" w:hAnsi="Times New Roman" w:cs="Times New Roman"/>
          <w:sz w:val="24"/>
          <w:szCs w:val="24"/>
        </w:rPr>
        <w:t>Tablea</w:t>
      </w:r>
      <w:r w:rsidR="00517960">
        <w:rPr>
          <w:rFonts w:ascii="Times New Roman" w:hAnsi="Times New Roman" w:cs="Times New Roman"/>
          <w:sz w:val="24"/>
          <w:szCs w:val="24"/>
        </w:rPr>
        <w:t>u</w:t>
      </w:r>
      <w:r>
        <w:rPr>
          <w:rFonts w:ascii="Times New Roman" w:hAnsi="Times New Roman" w:cs="Times New Roman"/>
          <w:sz w:val="24"/>
          <w:szCs w:val="24"/>
        </w:rPr>
        <w:t xml:space="preserve"> </w:t>
      </w:r>
      <w:r w:rsidRPr="00740710">
        <w:rPr>
          <w:rFonts w:ascii="Times New Roman" w:hAnsi="Times New Roman" w:cs="Times New Roman"/>
          <w:sz w:val="24"/>
          <w:szCs w:val="24"/>
        </w:rPr>
        <w:t>I is a remarkable picture of Mondrian's beliefs about the state of the universe altogether, a</w:t>
      </w:r>
      <w:r>
        <w:rPr>
          <w:rFonts w:ascii="Times New Roman" w:hAnsi="Times New Roman" w:cs="Times New Roman"/>
          <w:sz w:val="24"/>
          <w:szCs w:val="24"/>
        </w:rPr>
        <w:t xml:space="preserve">nd it offers a crucial image of </w:t>
      </w:r>
      <w:r w:rsidRPr="00740710">
        <w:rPr>
          <w:rFonts w:ascii="Times New Roman" w:hAnsi="Times New Roman" w:cs="Times New Roman"/>
          <w:sz w:val="24"/>
          <w:szCs w:val="24"/>
        </w:rPr>
        <w:t>Mondrian's intellectual journey into his well-known abstraction style</w:t>
      </w:r>
      <w:r w:rsidR="000D2353">
        <w:rPr>
          <w:rFonts w:ascii="Times New Roman" w:hAnsi="Times New Roman" w:cs="Times New Roman"/>
          <w:sz w:val="24"/>
          <w:szCs w:val="24"/>
        </w:rPr>
        <w:t xml:space="preserve"> </w:t>
      </w:r>
      <w:r w:rsidR="000D2353">
        <w:rPr>
          <w:rFonts w:ascii="Times New Roman" w:hAnsi="Times New Roman" w:cs="Times New Roman"/>
          <w:sz w:val="24"/>
          <w:szCs w:val="24"/>
        </w:rPr>
        <w:t>(</w:t>
      </w:r>
      <w:r w:rsidR="000D2353">
        <w:rPr>
          <w:rFonts w:ascii="Times New Roman" w:hAnsi="Times New Roman" w:cs="Times New Roman"/>
          <w:color w:val="222222"/>
          <w:sz w:val="24"/>
          <w:szCs w:val="24"/>
          <w:shd w:val="clear" w:color="auto" w:fill="FFFFFF"/>
        </w:rPr>
        <w:t>Bockman, pg.</w:t>
      </w:r>
      <w:r w:rsidR="000D2353">
        <w:rPr>
          <w:rFonts w:ascii="Times New Roman" w:hAnsi="Times New Roman" w:cs="Times New Roman"/>
          <w:color w:val="222222"/>
          <w:sz w:val="24"/>
          <w:szCs w:val="24"/>
          <w:shd w:val="clear" w:color="auto" w:fill="FFFFFF"/>
        </w:rPr>
        <w:t xml:space="preserve"> 24</w:t>
      </w:r>
      <w:r w:rsidR="000D2353">
        <w:rPr>
          <w:rFonts w:ascii="Times New Roman" w:hAnsi="Times New Roman" w:cs="Times New Roman"/>
          <w:color w:val="222222"/>
          <w:sz w:val="24"/>
          <w:szCs w:val="24"/>
          <w:shd w:val="clear" w:color="auto" w:fill="FFFFFF"/>
        </w:rPr>
        <w:t>4)</w:t>
      </w:r>
      <w:r w:rsidRPr="00740710">
        <w:rPr>
          <w:rFonts w:ascii="Times New Roman" w:hAnsi="Times New Roman" w:cs="Times New Roman"/>
          <w:sz w:val="24"/>
          <w:szCs w:val="24"/>
        </w:rPr>
        <w:t>.</w:t>
      </w:r>
      <w:r>
        <w:rPr>
          <w:rFonts w:ascii="Times New Roman" w:hAnsi="Times New Roman" w:cs="Times New Roman"/>
          <w:sz w:val="24"/>
          <w:szCs w:val="24"/>
        </w:rPr>
        <w:t xml:space="preserve"> </w:t>
      </w:r>
    </w:p>
    <w:p w:rsidR="00DA3E0C" w:rsidP="006D68B5" w14:paraId="0324C118" w14:textId="4D4AF7D0">
      <w:pPr>
        <w:ind w:firstLine="720"/>
        <w:rPr>
          <w:rFonts w:ascii="Times New Roman" w:hAnsi="Times New Roman" w:cs="Times New Roman"/>
          <w:sz w:val="24"/>
          <w:szCs w:val="24"/>
        </w:rPr>
      </w:pPr>
      <w:r w:rsidRPr="00517960">
        <w:rPr>
          <w:rFonts w:ascii="Times New Roman" w:hAnsi="Times New Roman" w:cs="Times New Roman"/>
          <w:sz w:val="24"/>
          <w:szCs w:val="24"/>
        </w:rPr>
        <w:t>The original composition spans 103cm by 100cm, is housed in the Gemeentemuseum Den Haag's Collection.</w:t>
      </w:r>
      <w:r>
        <w:rPr>
          <w:rFonts w:ascii="Times New Roman" w:hAnsi="Times New Roman" w:cs="Times New Roman"/>
          <w:sz w:val="24"/>
          <w:szCs w:val="24"/>
        </w:rPr>
        <w:t xml:space="preserve"> </w:t>
      </w:r>
      <w:r w:rsidRPr="00517960">
        <w:rPr>
          <w:rFonts w:ascii="Times New Roman" w:hAnsi="Times New Roman" w:cs="Times New Roman"/>
          <w:sz w:val="24"/>
          <w:szCs w:val="24"/>
        </w:rPr>
        <w:t>Several scimitar's black bars are used to constru</w:t>
      </w:r>
      <w:r>
        <w:rPr>
          <w:rFonts w:ascii="Times New Roman" w:hAnsi="Times New Roman" w:cs="Times New Roman"/>
          <w:sz w:val="24"/>
          <w:szCs w:val="24"/>
        </w:rPr>
        <w:t xml:space="preserve">ct the almost quadratic design. </w:t>
      </w:r>
      <w:r w:rsidRPr="00517960">
        <w:rPr>
          <w:rFonts w:ascii="Times New Roman" w:hAnsi="Times New Roman" w:cs="Times New Roman"/>
          <w:sz w:val="24"/>
          <w:szCs w:val="24"/>
        </w:rPr>
        <w:t>As a result, 13 rectangles of varie</w:t>
      </w:r>
      <w:r>
        <w:rPr>
          <w:rFonts w:ascii="Times New Roman" w:hAnsi="Times New Roman" w:cs="Times New Roman"/>
          <w:sz w:val="24"/>
          <w:szCs w:val="24"/>
        </w:rPr>
        <w:t xml:space="preserve">d sizes are created. </w:t>
      </w:r>
      <w:r w:rsidRPr="00517960">
        <w:rPr>
          <w:rFonts w:ascii="Times New Roman" w:hAnsi="Times New Roman" w:cs="Times New Roman"/>
          <w:sz w:val="24"/>
          <w:szCs w:val="24"/>
        </w:rPr>
        <w:t>Each of them has been blue in hue and is placed to the bottom left corne</w:t>
      </w:r>
      <w:r>
        <w:rPr>
          <w:rFonts w:ascii="Times New Roman" w:hAnsi="Times New Roman" w:cs="Times New Roman"/>
          <w:sz w:val="24"/>
          <w:szCs w:val="24"/>
        </w:rPr>
        <w:t xml:space="preserve">r of the artwork's centerpiece. </w:t>
      </w:r>
      <w:r w:rsidRPr="00517960">
        <w:rPr>
          <w:rFonts w:ascii="Times New Roman" w:hAnsi="Times New Roman" w:cs="Times New Roman"/>
          <w:sz w:val="24"/>
          <w:szCs w:val="24"/>
        </w:rPr>
        <w:t>The blue tint of the rectangular, which contrasts with the symmetrical rectangles, grabs the caller's attention due to its almos</w:t>
      </w:r>
      <w:r>
        <w:rPr>
          <w:rFonts w:ascii="Times New Roman" w:hAnsi="Times New Roman" w:cs="Times New Roman"/>
          <w:sz w:val="24"/>
          <w:szCs w:val="24"/>
        </w:rPr>
        <w:t>t strong location</w:t>
      </w:r>
      <w:r w:rsidR="000F5E61">
        <w:rPr>
          <w:rFonts w:ascii="Times New Roman" w:hAnsi="Times New Roman" w:cs="Times New Roman"/>
          <w:sz w:val="24"/>
          <w:szCs w:val="24"/>
        </w:rPr>
        <w:t xml:space="preserve"> </w:t>
      </w:r>
      <w:r w:rsidR="000F5E61">
        <w:rPr>
          <w:rFonts w:ascii="Times New Roman" w:hAnsi="Times New Roman" w:cs="Times New Roman"/>
          <w:sz w:val="24"/>
          <w:szCs w:val="24"/>
        </w:rPr>
        <w:t>(</w:t>
      </w:r>
      <w:r w:rsidRPr="00C316D9" w:rsidR="000F5E61">
        <w:rPr>
          <w:rFonts w:ascii="Times New Roman" w:hAnsi="Times New Roman" w:cs="Times New Roman"/>
          <w:color w:val="222222"/>
          <w:sz w:val="24"/>
          <w:szCs w:val="24"/>
          <w:shd w:val="clear" w:color="auto" w:fill="FFFFFF"/>
        </w:rPr>
        <w:t>Montégu,</w:t>
      </w:r>
      <w:r w:rsidR="000F5E61">
        <w:rPr>
          <w:rFonts w:ascii="Times New Roman" w:hAnsi="Times New Roman" w:cs="Times New Roman"/>
          <w:color w:val="222222"/>
          <w:sz w:val="24"/>
          <w:szCs w:val="24"/>
          <w:shd w:val="clear" w:color="auto" w:fill="FFFFFF"/>
        </w:rPr>
        <w:t xml:space="preserve"> pg. 67</w:t>
      </w:r>
      <w:r w:rsidR="000F5E61">
        <w:rPr>
          <w:rFonts w:ascii="Times New Roman" w:hAnsi="Times New Roman" w:cs="Times New Roman"/>
          <w:color w:val="222222"/>
          <w:sz w:val="24"/>
          <w:szCs w:val="24"/>
          <w:shd w:val="clear" w:color="auto" w:fill="FFFFFF"/>
        </w:rPr>
        <w:t>)</w:t>
      </w:r>
      <w:r>
        <w:rPr>
          <w:rFonts w:ascii="Times New Roman" w:hAnsi="Times New Roman" w:cs="Times New Roman"/>
          <w:sz w:val="24"/>
          <w:szCs w:val="24"/>
        </w:rPr>
        <w:t xml:space="preserve">. </w:t>
      </w:r>
      <w:r w:rsidRPr="00517960">
        <w:rPr>
          <w:rFonts w:ascii="Times New Roman" w:hAnsi="Times New Roman" w:cs="Times New Roman"/>
          <w:sz w:val="24"/>
          <w:szCs w:val="24"/>
        </w:rPr>
        <w:t>Only two different rectangles are attracted in color, another in the bottom left-hand corner, derived in neon yellow as well as broadening in vertical position first from the bottom edge to the center of the picture, and the other in the lower-left corner of the screen, derived in neon yellow and trying to extend in altitude first from the bottom part to the center of the picture.</w:t>
      </w:r>
      <w:r>
        <w:rPr>
          <w:rFonts w:ascii="Times New Roman" w:hAnsi="Times New Roman" w:cs="Times New Roman"/>
          <w:sz w:val="24"/>
          <w:szCs w:val="24"/>
        </w:rPr>
        <w:t xml:space="preserve"> </w:t>
      </w:r>
      <w:r w:rsidRPr="00DA3E0C">
        <w:rPr>
          <w:rFonts w:ascii="Times New Roman" w:hAnsi="Times New Roman" w:cs="Times New Roman"/>
          <w:sz w:val="24"/>
          <w:szCs w:val="24"/>
        </w:rPr>
        <w:t>Some other colorful rectangle is relatively short in height and was crammed into the uppermost half of the image, stretching diagonally to the midsection</w:t>
      </w:r>
      <w:r w:rsidR="00024E41">
        <w:rPr>
          <w:rFonts w:ascii="Times New Roman" w:hAnsi="Times New Roman" w:cs="Times New Roman"/>
          <w:sz w:val="24"/>
          <w:szCs w:val="24"/>
        </w:rPr>
        <w:t xml:space="preserve"> (</w:t>
      </w:r>
      <w:r w:rsidR="00024E41">
        <w:rPr>
          <w:rFonts w:ascii="Times New Roman" w:hAnsi="Times New Roman" w:cs="Times New Roman"/>
          <w:color w:val="222222"/>
          <w:sz w:val="24"/>
          <w:szCs w:val="24"/>
          <w:shd w:val="clear" w:color="auto" w:fill="FFFFFF"/>
        </w:rPr>
        <w:t>Bockman</w:t>
      </w:r>
      <w:r w:rsidR="00024E41">
        <w:rPr>
          <w:rFonts w:ascii="Times New Roman" w:hAnsi="Times New Roman" w:cs="Times New Roman"/>
          <w:color w:val="222222"/>
          <w:sz w:val="24"/>
          <w:szCs w:val="24"/>
          <w:shd w:val="clear" w:color="auto" w:fill="FFFFFF"/>
        </w:rPr>
        <w:t>, pg.</w:t>
      </w:r>
      <w:r w:rsidR="000D2353">
        <w:rPr>
          <w:rFonts w:ascii="Times New Roman" w:hAnsi="Times New Roman" w:cs="Times New Roman"/>
          <w:color w:val="222222"/>
          <w:sz w:val="24"/>
          <w:szCs w:val="24"/>
          <w:shd w:val="clear" w:color="auto" w:fill="FFFFFF"/>
        </w:rPr>
        <w:t>26</w:t>
      </w:r>
      <w:r w:rsidR="00024E41">
        <w:rPr>
          <w:rFonts w:ascii="Times New Roman" w:hAnsi="Times New Roman" w:cs="Times New Roman"/>
          <w:color w:val="222222"/>
          <w:sz w:val="24"/>
          <w:szCs w:val="24"/>
          <w:shd w:val="clear" w:color="auto" w:fill="FFFFFF"/>
        </w:rPr>
        <w:t>4)</w:t>
      </w:r>
      <w:r w:rsidRPr="00DA3E0C">
        <w:rPr>
          <w:rFonts w:ascii="Times New Roman" w:hAnsi="Times New Roman" w:cs="Times New Roman"/>
          <w:sz w:val="24"/>
          <w:szCs w:val="24"/>
        </w:rPr>
        <w:t>.</w:t>
      </w:r>
    </w:p>
    <w:p w:rsidR="0091636B" w:rsidP="0091636B" w14:paraId="1AE02EF8" w14:textId="34B74633">
      <w:pPr>
        <w:ind w:firstLine="720"/>
        <w:rPr>
          <w:rFonts w:ascii="Times New Roman" w:hAnsi="Times New Roman" w:cs="Times New Roman"/>
          <w:sz w:val="24"/>
          <w:szCs w:val="24"/>
        </w:rPr>
      </w:pPr>
      <w:r w:rsidRPr="00DA3E0C">
        <w:rPr>
          <w:rFonts w:ascii="Times New Roman" w:hAnsi="Times New Roman" w:cs="Times New Roman"/>
          <w:sz w:val="24"/>
          <w:szCs w:val="24"/>
        </w:rPr>
        <w:t>A black rectangle fills the upper right corner, and a little black rectangle sits n</w:t>
      </w:r>
      <w:r w:rsidR="00211377">
        <w:rPr>
          <w:rFonts w:ascii="Times New Roman" w:hAnsi="Times New Roman" w:cs="Times New Roman"/>
          <w:sz w:val="24"/>
          <w:szCs w:val="24"/>
        </w:rPr>
        <w:t xml:space="preserve">ext to the yellowish rectangle. </w:t>
      </w:r>
      <w:r w:rsidRPr="00DA3E0C">
        <w:rPr>
          <w:rFonts w:ascii="Times New Roman" w:hAnsi="Times New Roman" w:cs="Times New Roman"/>
          <w:sz w:val="24"/>
          <w:szCs w:val="24"/>
        </w:rPr>
        <w:t>The other eight</w:t>
      </w:r>
      <w:r w:rsidR="00211377">
        <w:rPr>
          <w:rFonts w:ascii="Times New Roman" w:hAnsi="Times New Roman" w:cs="Times New Roman"/>
          <w:sz w:val="24"/>
          <w:szCs w:val="24"/>
        </w:rPr>
        <w:t xml:space="preserve"> panels are all entirely white. </w:t>
      </w:r>
      <w:r w:rsidRPr="00DA3E0C">
        <w:rPr>
          <w:rFonts w:ascii="Times New Roman" w:hAnsi="Times New Roman" w:cs="Times New Roman"/>
          <w:sz w:val="24"/>
          <w:szCs w:val="24"/>
        </w:rPr>
        <w:t>In comparison to the "quasi" monochrome, the three utilized colors, bright yellow, bright blue, and brigh</w:t>
      </w:r>
      <w:r w:rsidR="00211377">
        <w:rPr>
          <w:rFonts w:ascii="Times New Roman" w:hAnsi="Times New Roman" w:cs="Times New Roman"/>
          <w:sz w:val="24"/>
          <w:szCs w:val="24"/>
        </w:rPr>
        <w:t xml:space="preserve">t red, seem to be very intense. </w:t>
      </w:r>
      <w:r w:rsidRPr="00DA3E0C">
        <w:rPr>
          <w:rFonts w:ascii="Times New Roman" w:hAnsi="Times New Roman" w:cs="Times New Roman"/>
          <w:sz w:val="24"/>
          <w:szCs w:val="24"/>
        </w:rPr>
        <w:t>The recipient is still perplexed about whether the whiteness rectangles are really created in the same way as the dark and colorful ones or if they are revealing the wh</w:t>
      </w:r>
      <w:r w:rsidR="00211377">
        <w:rPr>
          <w:rFonts w:ascii="Times New Roman" w:hAnsi="Times New Roman" w:cs="Times New Roman"/>
          <w:sz w:val="24"/>
          <w:szCs w:val="24"/>
        </w:rPr>
        <w:t xml:space="preserve">ite canvases in the foreground. </w:t>
      </w:r>
      <w:r w:rsidRPr="00DA3E0C">
        <w:rPr>
          <w:rFonts w:ascii="Times New Roman" w:hAnsi="Times New Roman" w:cs="Times New Roman"/>
          <w:sz w:val="24"/>
          <w:szCs w:val="24"/>
        </w:rPr>
        <w:t>Mondrian produces a context in his typically flat, two works in this way</w:t>
      </w:r>
      <w:r w:rsidR="000F5E61">
        <w:rPr>
          <w:rFonts w:ascii="Times New Roman" w:hAnsi="Times New Roman" w:cs="Times New Roman"/>
          <w:sz w:val="24"/>
          <w:szCs w:val="24"/>
        </w:rPr>
        <w:t xml:space="preserve"> </w:t>
      </w:r>
      <w:r w:rsidR="000F5E61">
        <w:rPr>
          <w:rFonts w:ascii="Times New Roman" w:hAnsi="Times New Roman" w:cs="Times New Roman"/>
          <w:sz w:val="24"/>
          <w:szCs w:val="24"/>
        </w:rPr>
        <w:t>(</w:t>
      </w:r>
      <w:r w:rsidRPr="00C316D9" w:rsidR="000F5E61">
        <w:rPr>
          <w:rFonts w:ascii="Times New Roman" w:hAnsi="Times New Roman" w:cs="Times New Roman"/>
          <w:color w:val="222222"/>
          <w:sz w:val="24"/>
          <w:szCs w:val="24"/>
          <w:shd w:val="clear" w:color="auto" w:fill="FFFFFF"/>
        </w:rPr>
        <w:t>Montégu,</w:t>
      </w:r>
      <w:r w:rsidR="000F5E61">
        <w:rPr>
          <w:rFonts w:ascii="Times New Roman" w:hAnsi="Times New Roman" w:cs="Times New Roman"/>
          <w:color w:val="222222"/>
          <w:sz w:val="24"/>
          <w:szCs w:val="24"/>
          <w:shd w:val="clear" w:color="auto" w:fill="FFFFFF"/>
        </w:rPr>
        <w:t xml:space="preserve"> pg. 60</w:t>
      </w:r>
      <w:r w:rsidR="000F5E61">
        <w:rPr>
          <w:rFonts w:ascii="Times New Roman" w:hAnsi="Times New Roman" w:cs="Times New Roman"/>
          <w:color w:val="222222"/>
          <w:sz w:val="24"/>
          <w:szCs w:val="24"/>
          <w:shd w:val="clear" w:color="auto" w:fill="FFFFFF"/>
        </w:rPr>
        <w:t>)</w:t>
      </w:r>
      <w:r w:rsidRPr="00DA3E0C">
        <w:rPr>
          <w:rFonts w:ascii="Times New Roman" w:hAnsi="Times New Roman" w:cs="Times New Roman"/>
          <w:sz w:val="24"/>
          <w:szCs w:val="24"/>
        </w:rPr>
        <w:t>.</w:t>
      </w:r>
      <w:r>
        <w:rPr>
          <w:rFonts w:ascii="Times New Roman" w:hAnsi="Times New Roman" w:cs="Times New Roman"/>
          <w:sz w:val="24"/>
          <w:szCs w:val="24"/>
        </w:rPr>
        <w:t xml:space="preserve"> </w:t>
      </w:r>
    </w:p>
    <w:p w:rsidR="00DA3E0C" w:rsidP="00FE22D0" w14:paraId="6A681788" w14:textId="2C91CF9F">
      <w:pPr>
        <w:ind w:firstLine="720"/>
        <w:rPr>
          <w:rFonts w:ascii="Times New Roman" w:hAnsi="Times New Roman" w:cs="Times New Roman"/>
          <w:sz w:val="24"/>
          <w:szCs w:val="24"/>
        </w:rPr>
      </w:pPr>
      <w:r w:rsidRPr="0091636B">
        <w:rPr>
          <w:rFonts w:ascii="Times New Roman" w:hAnsi="Times New Roman" w:cs="Times New Roman"/>
          <w:sz w:val="24"/>
          <w:szCs w:val="24"/>
        </w:rPr>
        <w:t>Because abstract art is essentially focused on the formal components of architecture instead of just being based on identifiable imagery, the artist's use of work of design to transmit compared with pure art is crucial because that is what provides the paintings its significance and mood.</w:t>
      </w:r>
      <w:r w:rsidR="00FE22D0">
        <w:rPr>
          <w:rFonts w:ascii="Times New Roman" w:hAnsi="Times New Roman" w:cs="Times New Roman"/>
          <w:sz w:val="24"/>
          <w:szCs w:val="24"/>
        </w:rPr>
        <w:t xml:space="preserve"> </w:t>
      </w:r>
      <w:r w:rsidRPr="00FE22D0" w:rsidR="00FE22D0">
        <w:rPr>
          <w:rFonts w:ascii="Times New Roman" w:hAnsi="Times New Roman" w:cs="Times New Roman"/>
          <w:sz w:val="24"/>
          <w:szCs w:val="24"/>
        </w:rPr>
        <w:t xml:space="preserve">Mondrian was a philosopher and artist who felt that art mirrored </w:t>
      </w:r>
      <w:r w:rsidR="00FE22D0">
        <w:rPr>
          <w:rFonts w:ascii="Times New Roman" w:hAnsi="Times New Roman" w:cs="Times New Roman"/>
          <w:sz w:val="24"/>
          <w:szCs w:val="24"/>
        </w:rPr>
        <w:t xml:space="preserve">nature's inherent spirituality. </w:t>
      </w:r>
      <w:r w:rsidRPr="00FE22D0" w:rsidR="00FE22D0">
        <w:rPr>
          <w:rFonts w:ascii="Times New Roman" w:hAnsi="Times New Roman" w:cs="Times New Roman"/>
          <w:sz w:val="24"/>
          <w:szCs w:val="24"/>
        </w:rPr>
        <w:t xml:space="preserve">Mondrian called for pure simplification and a limited spectrum in order to interact </w:t>
      </w:r>
      <w:r w:rsidRPr="00FE22D0" w:rsidR="001041D9">
        <w:rPr>
          <w:rFonts w:ascii="Times New Roman" w:hAnsi="Times New Roman" w:cs="Times New Roman"/>
          <w:sz w:val="24"/>
          <w:szCs w:val="24"/>
        </w:rPr>
        <w:t>with a</w:t>
      </w:r>
      <w:r w:rsidRPr="00FE22D0" w:rsidR="00FE22D0">
        <w:rPr>
          <w:rFonts w:ascii="Times New Roman" w:hAnsi="Times New Roman" w:cs="Times New Roman"/>
          <w:sz w:val="24"/>
          <w:szCs w:val="24"/>
        </w:rPr>
        <w:t xml:space="preserve"> utopian society of universal harmonization across all media</w:t>
      </w:r>
      <w:r w:rsidR="000D2353">
        <w:rPr>
          <w:rFonts w:ascii="Times New Roman" w:hAnsi="Times New Roman" w:cs="Times New Roman"/>
          <w:sz w:val="24"/>
          <w:szCs w:val="24"/>
        </w:rPr>
        <w:t xml:space="preserve"> (</w:t>
      </w:r>
      <w:r w:rsidRPr="00C316D9" w:rsidR="000D2353">
        <w:rPr>
          <w:rFonts w:ascii="Times New Roman" w:hAnsi="Times New Roman" w:cs="Times New Roman"/>
          <w:color w:val="222222"/>
          <w:sz w:val="24"/>
          <w:szCs w:val="24"/>
          <w:shd w:val="clear" w:color="auto" w:fill="FFFFFF"/>
        </w:rPr>
        <w:t>Montégu,</w:t>
      </w:r>
      <w:r w:rsidR="000F5E61">
        <w:rPr>
          <w:rFonts w:ascii="Times New Roman" w:hAnsi="Times New Roman" w:cs="Times New Roman"/>
          <w:color w:val="222222"/>
          <w:sz w:val="24"/>
          <w:szCs w:val="24"/>
          <w:shd w:val="clear" w:color="auto" w:fill="FFFFFF"/>
        </w:rPr>
        <w:t xml:space="preserve"> pg. 73)</w:t>
      </w:r>
      <w:r w:rsidRPr="00FE22D0" w:rsidR="00FE22D0">
        <w:rPr>
          <w:rFonts w:ascii="Times New Roman" w:hAnsi="Times New Roman" w:cs="Times New Roman"/>
          <w:sz w:val="24"/>
          <w:szCs w:val="24"/>
        </w:rPr>
        <w:t>.</w:t>
      </w:r>
    </w:p>
    <w:p w:rsidR="00FE22D0" w:rsidP="001041D9" w14:paraId="1951263F" w14:textId="01A8A66E">
      <w:pPr>
        <w:ind w:firstLine="720"/>
        <w:rPr>
          <w:rFonts w:ascii="Times New Roman" w:hAnsi="Times New Roman" w:cs="Times New Roman"/>
          <w:sz w:val="24"/>
          <w:szCs w:val="24"/>
        </w:rPr>
      </w:pPr>
      <w:r>
        <w:rPr>
          <w:rFonts w:ascii="Times New Roman" w:hAnsi="Times New Roman" w:cs="Times New Roman"/>
          <w:sz w:val="24"/>
          <w:szCs w:val="24"/>
        </w:rPr>
        <w:t xml:space="preserve">In conclusion, </w:t>
      </w:r>
      <w:r w:rsidRPr="00740710">
        <w:rPr>
          <w:rFonts w:ascii="Times New Roman" w:hAnsi="Times New Roman" w:cs="Times New Roman"/>
          <w:sz w:val="24"/>
          <w:szCs w:val="24"/>
        </w:rPr>
        <w:t>Tableau I</w:t>
      </w:r>
      <w:r w:rsidR="001041D9">
        <w:rPr>
          <w:rFonts w:ascii="Times New Roman" w:hAnsi="Times New Roman" w:cs="Times New Roman"/>
          <w:sz w:val="24"/>
          <w:szCs w:val="24"/>
        </w:rPr>
        <w:t xml:space="preserve"> </w:t>
      </w:r>
      <w:r w:rsidRPr="001041D9" w:rsidR="001041D9">
        <w:rPr>
          <w:rFonts w:ascii="Times New Roman" w:hAnsi="Times New Roman" w:cs="Times New Roman"/>
          <w:sz w:val="24"/>
          <w:szCs w:val="24"/>
        </w:rPr>
        <w:t>Mondrian's</w:t>
      </w:r>
      <w:r w:rsidR="006D68B5">
        <w:rPr>
          <w:rFonts w:ascii="Times New Roman" w:hAnsi="Times New Roman" w:cs="Times New Roman"/>
          <w:sz w:val="24"/>
          <w:szCs w:val="24"/>
        </w:rPr>
        <w:t xml:space="preserve"> artworks, I suppose, draw his</w:t>
      </w:r>
      <w:r w:rsidRPr="001041D9" w:rsidR="001041D9">
        <w:rPr>
          <w:rFonts w:ascii="Times New Roman" w:hAnsi="Times New Roman" w:cs="Times New Roman"/>
          <w:sz w:val="24"/>
          <w:szCs w:val="24"/>
        </w:rPr>
        <w:t xml:space="preserve"> cohesiveness from geometric con</w:t>
      </w:r>
      <w:r w:rsidR="001041D9">
        <w:rPr>
          <w:rFonts w:ascii="Times New Roman" w:hAnsi="Times New Roman" w:cs="Times New Roman"/>
          <w:sz w:val="24"/>
          <w:szCs w:val="24"/>
        </w:rPr>
        <w:t xml:space="preserve">nections rather than balancing. </w:t>
      </w:r>
      <w:r w:rsidRPr="001041D9" w:rsidR="001041D9">
        <w:rPr>
          <w:rFonts w:ascii="Times New Roman" w:hAnsi="Times New Roman" w:cs="Times New Roman"/>
          <w:sz w:val="24"/>
          <w:szCs w:val="24"/>
        </w:rPr>
        <w:t>Thus, in Composing with Bluish, the form similarity between the dark blue surface and the fabric is becoming a powerful uniting aspect that is lost when the canvas is much widened or narrowed.</w:t>
      </w:r>
    </w:p>
    <w:p w:rsidR="001041D9" w:rsidP="001041D9" w14:paraId="24C6A3F6" w14:textId="77777777">
      <w:pPr>
        <w:ind w:firstLine="720"/>
        <w:rPr>
          <w:rFonts w:ascii="Times New Roman" w:hAnsi="Times New Roman" w:cs="Times New Roman"/>
          <w:sz w:val="24"/>
          <w:szCs w:val="24"/>
        </w:rPr>
      </w:pPr>
    </w:p>
    <w:p w:rsidR="001041D9" w:rsidP="001041D9" w14:paraId="738CD301" w14:textId="77777777">
      <w:pPr>
        <w:ind w:firstLine="720"/>
        <w:rPr>
          <w:rFonts w:ascii="Times New Roman" w:hAnsi="Times New Roman" w:cs="Times New Roman"/>
          <w:sz w:val="24"/>
          <w:szCs w:val="24"/>
        </w:rPr>
      </w:pPr>
    </w:p>
    <w:p w:rsidR="001041D9" w:rsidP="001041D9" w14:paraId="7C87D35F" w14:textId="77777777">
      <w:pPr>
        <w:ind w:firstLine="720"/>
        <w:rPr>
          <w:rFonts w:ascii="Times New Roman" w:hAnsi="Times New Roman" w:cs="Times New Roman"/>
          <w:sz w:val="24"/>
          <w:szCs w:val="24"/>
        </w:rPr>
      </w:pPr>
    </w:p>
    <w:p w:rsidR="001041D9" w:rsidP="001041D9" w14:paraId="01C4CB71" w14:textId="77777777">
      <w:pPr>
        <w:ind w:firstLine="720"/>
        <w:rPr>
          <w:rFonts w:ascii="Times New Roman" w:hAnsi="Times New Roman" w:cs="Times New Roman"/>
          <w:sz w:val="24"/>
          <w:szCs w:val="24"/>
        </w:rPr>
      </w:pPr>
    </w:p>
    <w:p w:rsidR="001041D9" w:rsidP="001041D9" w14:paraId="75BD5F20" w14:textId="77777777">
      <w:pPr>
        <w:ind w:firstLine="720"/>
        <w:rPr>
          <w:rFonts w:ascii="Times New Roman" w:hAnsi="Times New Roman" w:cs="Times New Roman"/>
          <w:sz w:val="24"/>
          <w:szCs w:val="24"/>
        </w:rPr>
      </w:pPr>
    </w:p>
    <w:p w:rsidR="001041D9" w:rsidP="001041D9" w14:paraId="7CF74DDA" w14:textId="77777777">
      <w:pPr>
        <w:ind w:firstLine="720"/>
        <w:rPr>
          <w:rFonts w:ascii="Times New Roman" w:hAnsi="Times New Roman" w:cs="Times New Roman"/>
          <w:sz w:val="24"/>
          <w:szCs w:val="24"/>
        </w:rPr>
      </w:pPr>
    </w:p>
    <w:p w:rsidR="001041D9" w:rsidP="001041D9" w14:paraId="3672A573" w14:textId="77777777">
      <w:pPr>
        <w:ind w:firstLine="720"/>
        <w:rPr>
          <w:rFonts w:ascii="Times New Roman" w:hAnsi="Times New Roman" w:cs="Times New Roman"/>
          <w:sz w:val="24"/>
          <w:szCs w:val="24"/>
        </w:rPr>
      </w:pPr>
    </w:p>
    <w:p w:rsidR="001041D9" w:rsidP="001041D9" w14:paraId="6741ECFD" w14:textId="77777777">
      <w:pPr>
        <w:ind w:firstLine="720"/>
        <w:rPr>
          <w:rFonts w:ascii="Times New Roman" w:hAnsi="Times New Roman" w:cs="Times New Roman"/>
          <w:sz w:val="24"/>
          <w:szCs w:val="24"/>
        </w:rPr>
      </w:pPr>
    </w:p>
    <w:p w:rsidR="001041D9" w:rsidP="001041D9" w14:paraId="672D994C" w14:textId="77777777">
      <w:pPr>
        <w:ind w:firstLine="720"/>
        <w:rPr>
          <w:rFonts w:ascii="Times New Roman" w:hAnsi="Times New Roman" w:cs="Times New Roman"/>
          <w:sz w:val="24"/>
          <w:szCs w:val="24"/>
        </w:rPr>
      </w:pPr>
    </w:p>
    <w:p w:rsidR="001041D9" w:rsidP="001041D9" w14:paraId="5B5EEE52" w14:textId="77777777">
      <w:pPr>
        <w:ind w:firstLine="720"/>
        <w:rPr>
          <w:rFonts w:ascii="Times New Roman" w:hAnsi="Times New Roman" w:cs="Times New Roman"/>
          <w:sz w:val="24"/>
          <w:szCs w:val="24"/>
        </w:rPr>
      </w:pPr>
    </w:p>
    <w:p w:rsidR="001041D9" w:rsidP="001041D9" w14:paraId="63E9A757" w14:textId="77777777">
      <w:pPr>
        <w:ind w:firstLine="720"/>
        <w:rPr>
          <w:rFonts w:ascii="Times New Roman" w:hAnsi="Times New Roman" w:cs="Times New Roman"/>
          <w:sz w:val="24"/>
          <w:szCs w:val="24"/>
        </w:rPr>
      </w:pPr>
    </w:p>
    <w:p w:rsidR="001041D9" w:rsidP="001041D9" w14:paraId="15C58F7F" w14:textId="77777777">
      <w:pPr>
        <w:ind w:firstLine="720"/>
        <w:rPr>
          <w:rFonts w:ascii="Times New Roman" w:hAnsi="Times New Roman" w:cs="Times New Roman"/>
          <w:sz w:val="24"/>
          <w:szCs w:val="24"/>
        </w:rPr>
      </w:pPr>
    </w:p>
    <w:p w:rsidR="001041D9" w:rsidP="001041D9" w14:paraId="571EBB46" w14:textId="77777777">
      <w:pPr>
        <w:ind w:firstLine="720"/>
        <w:rPr>
          <w:rFonts w:ascii="Times New Roman" w:hAnsi="Times New Roman" w:cs="Times New Roman"/>
          <w:sz w:val="24"/>
          <w:szCs w:val="24"/>
        </w:rPr>
      </w:pPr>
    </w:p>
    <w:p w:rsidR="001041D9" w:rsidP="001041D9" w14:paraId="510358DA" w14:textId="77777777">
      <w:pPr>
        <w:ind w:firstLine="720"/>
        <w:rPr>
          <w:rFonts w:ascii="Times New Roman" w:hAnsi="Times New Roman" w:cs="Times New Roman"/>
          <w:sz w:val="24"/>
          <w:szCs w:val="24"/>
        </w:rPr>
      </w:pPr>
    </w:p>
    <w:p w:rsidR="001041D9" w:rsidP="001041D9" w14:paraId="087476AB" w14:textId="77777777">
      <w:pPr>
        <w:ind w:firstLine="720"/>
        <w:rPr>
          <w:rFonts w:ascii="Times New Roman" w:hAnsi="Times New Roman" w:cs="Times New Roman"/>
          <w:sz w:val="24"/>
          <w:szCs w:val="24"/>
        </w:rPr>
      </w:pPr>
    </w:p>
    <w:p w:rsidR="001041D9" w:rsidP="001041D9" w14:paraId="76F93EEE" w14:textId="77777777">
      <w:pPr>
        <w:ind w:firstLine="720"/>
        <w:rPr>
          <w:rFonts w:ascii="Times New Roman" w:hAnsi="Times New Roman" w:cs="Times New Roman"/>
          <w:sz w:val="24"/>
          <w:szCs w:val="24"/>
        </w:rPr>
      </w:pPr>
    </w:p>
    <w:p w:rsidR="001041D9" w:rsidP="001041D9" w14:paraId="52F0353C" w14:textId="77777777">
      <w:pPr>
        <w:ind w:firstLine="720"/>
        <w:rPr>
          <w:rFonts w:ascii="Times New Roman" w:hAnsi="Times New Roman" w:cs="Times New Roman"/>
          <w:sz w:val="24"/>
          <w:szCs w:val="24"/>
        </w:rPr>
      </w:pPr>
    </w:p>
    <w:p w:rsidR="001041D9" w:rsidP="001041D9" w14:paraId="6437138A" w14:textId="77777777">
      <w:pPr>
        <w:ind w:firstLine="720"/>
        <w:rPr>
          <w:rFonts w:ascii="Times New Roman" w:hAnsi="Times New Roman" w:cs="Times New Roman"/>
          <w:sz w:val="24"/>
          <w:szCs w:val="24"/>
        </w:rPr>
      </w:pPr>
    </w:p>
    <w:p w:rsidR="001041D9" w:rsidP="001041D9" w14:paraId="0115B246" w14:textId="77777777">
      <w:pPr>
        <w:ind w:firstLine="720"/>
        <w:rPr>
          <w:rFonts w:ascii="Times New Roman" w:hAnsi="Times New Roman" w:cs="Times New Roman"/>
          <w:sz w:val="24"/>
          <w:szCs w:val="24"/>
        </w:rPr>
      </w:pPr>
    </w:p>
    <w:p w:rsidR="001041D9" w:rsidP="001041D9" w14:paraId="3864D5A9" w14:textId="67D8C38B">
      <w:pPr>
        <w:ind w:firstLine="720"/>
        <w:jc w:val="center"/>
        <w:rPr>
          <w:rFonts w:ascii="Times New Roman" w:hAnsi="Times New Roman" w:cs="Times New Roman"/>
          <w:b/>
          <w:sz w:val="24"/>
          <w:szCs w:val="24"/>
        </w:rPr>
      </w:pPr>
      <w:r w:rsidRPr="001041D9">
        <w:rPr>
          <w:rFonts w:ascii="Times New Roman" w:hAnsi="Times New Roman" w:cs="Times New Roman"/>
          <w:b/>
          <w:sz w:val="24"/>
          <w:szCs w:val="24"/>
        </w:rPr>
        <w:t>Work cited</w:t>
      </w:r>
    </w:p>
    <w:p w:rsidR="006D68B5" w:rsidRPr="00C316D9" w:rsidP="00C316D9" w14:paraId="58743153" w14:textId="0EBBF45E">
      <w:pPr>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Bockman</w:t>
      </w:r>
      <w:r w:rsidRPr="00C316D9" w:rsidR="00C316D9">
        <w:rPr>
          <w:rFonts w:ascii="Times New Roman" w:hAnsi="Times New Roman" w:cs="Times New Roman"/>
          <w:color w:val="222222"/>
          <w:sz w:val="24"/>
          <w:szCs w:val="24"/>
          <w:shd w:val="clear" w:color="auto" w:fill="FFFFFF"/>
        </w:rPr>
        <w:t>. "THE AESTHETICS OF GENTRIFICATION: Modern Art, Settler Colonialism, and Anti‐Colonialism in Washington, DC." </w:t>
      </w:r>
      <w:r w:rsidRPr="00C316D9" w:rsidR="00C316D9">
        <w:rPr>
          <w:rFonts w:ascii="Times New Roman" w:hAnsi="Times New Roman" w:cs="Times New Roman"/>
          <w:i/>
          <w:iCs/>
          <w:color w:val="222222"/>
          <w:sz w:val="24"/>
          <w:szCs w:val="24"/>
          <w:shd w:val="clear" w:color="auto" w:fill="FFFFFF"/>
        </w:rPr>
        <w:t>International Journal of Urban and Regional Research</w:t>
      </w:r>
      <w:r w:rsidRPr="00C316D9" w:rsidR="00C316D9">
        <w:rPr>
          <w:rFonts w:ascii="Times New Roman" w:hAnsi="Times New Roman" w:cs="Times New Roman"/>
          <w:color w:val="222222"/>
          <w:sz w:val="24"/>
          <w:szCs w:val="24"/>
          <w:shd w:val="clear" w:color="auto" w:fill="FFFFFF"/>
        </w:rPr>
        <w:t> (2021).</w:t>
      </w:r>
      <w:r>
        <w:rPr>
          <w:rFonts w:ascii="Times New Roman" w:hAnsi="Times New Roman" w:cs="Times New Roman"/>
          <w:color w:val="222222"/>
          <w:sz w:val="24"/>
          <w:szCs w:val="24"/>
          <w:shd w:val="clear" w:color="auto" w:fill="FFFFFF"/>
        </w:rPr>
        <w:t xml:space="preserve"> </w:t>
      </w:r>
      <w:r w:rsidRPr="00024E41">
        <w:rPr>
          <w:rFonts w:ascii="Times New Roman" w:hAnsi="Times New Roman" w:cs="Times New Roman"/>
          <w:i/>
          <w:color w:val="222222"/>
          <w:sz w:val="24"/>
          <w:szCs w:val="24"/>
          <w:shd w:val="clear" w:color="auto" w:fill="FFFFFF"/>
        </w:rPr>
        <w:t>234- 300</w:t>
      </w:r>
    </w:p>
    <w:p w:rsidR="00C316D9" w:rsidRPr="000D2353" w:rsidP="00C316D9" w14:paraId="4CF53E23" w14:textId="48467EFA">
      <w:pPr>
        <w:ind w:left="720" w:hanging="720"/>
        <w:rPr>
          <w:rFonts w:ascii="Times New Roman" w:hAnsi="Times New Roman" w:cs="Times New Roman"/>
          <w:b/>
          <w:i/>
          <w:sz w:val="24"/>
          <w:szCs w:val="24"/>
        </w:rPr>
      </w:pPr>
      <w:r w:rsidRPr="00C316D9">
        <w:rPr>
          <w:rFonts w:ascii="Times New Roman" w:hAnsi="Times New Roman" w:cs="Times New Roman"/>
          <w:color w:val="222222"/>
          <w:sz w:val="24"/>
          <w:szCs w:val="24"/>
          <w:shd w:val="clear" w:color="auto" w:fill="FFFFFF"/>
        </w:rPr>
        <w:t xml:space="preserve">Montégu, Frédéric. "Aurélie Nemours ou l’esthétique du </w:t>
      </w:r>
      <w:r w:rsidRPr="00C316D9" w:rsidR="00B54A62">
        <w:rPr>
          <w:rFonts w:ascii="Times New Roman" w:hAnsi="Times New Roman" w:cs="Times New Roman"/>
          <w:color w:val="222222"/>
          <w:sz w:val="24"/>
          <w:szCs w:val="24"/>
          <w:shd w:val="clear" w:color="auto" w:fill="FFFFFF"/>
        </w:rPr>
        <w:t>renouncements</w:t>
      </w:r>
      <w:r w:rsidRPr="00C316D9">
        <w:rPr>
          <w:rFonts w:ascii="Times New Roman" w:hAnsi="Times New Roman" w:cs="Times New Roman"/>
          <w:color w:val="222222"/>
          <w:sz w:val="24"/>
          <w:szCs w:val="24"/>
          <w:shd w:val="clear" w:color="auto" w:fill="FFFFFF"/>
        </w:rPr>
        <w:t>." (2021).</w:t>
      </w:r>
      <w:r w:rsidR="000D2353">
        <w:rPr>
          <w:rFonts w:ascii="Times New Roman" w:hAnsi="Times New Roman" w:cs="Times New Roman"/>
          <w:color w:val="222222"/>
          <w:sz w:val="24"/>
          <w:szCs w:val="24"/>
          <w:shd w:val="clear" w:color="auto" w:fill="FFFFFF"/>
        </w:rPr>
        <w:t xml:space="preserve"> </w:t>
      </w:r>
      <w:r w:rsidRPr="000D2353" w:rsidR="000D2353">
        <w:rPr>
          <w:rFonts w:ascii="Times New Roman" w:hAnsi="Times New Roman" w:cs="Times New Roman"/>
          <w:i/>
          <w:color w:val="222222"/>
          <w:sz w:val="24"/>
          <w:szCs w:val="24"/>
          <w:shd w:val="clear" w:color="auto" w:fill="FFFFFF"/>
        </w:rPr>
        <w:t>67-80</w:t>
      </w:r>
    </w:p>
    <w:sectPr>
      <w:headerReference w:type="default" r:id="rId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16CA" w:rsidRPr="001816CA" w14:paraId="60601EE0" w14:textId="5F9F81DC">
    <w:pPr>
      <w:pStyle w:val="Header"/>
      <w:jc w:val="right"/>
      <w:rPr>
        <w:rFonts w:ascii="Times New Roman" w:hAnsi="Times New Roman" w:cs="Times New Roman"/>
        <w:sz w:val="24"/>
        <w:szCs w:val="24"/>
      </w:rPr>
    </w:pPr>
    <w:r w:rsidRPr="001816CA">
      <w:rPr>
        <w:rFonts w:ascii="Times New Roman" w:hAnsi="Times New Roman" w:cs="Times New Roman"/>
        <w:sz w:val="24"/>
        <w:szCs w:val="24"/>
      </w:rPr>
      <w:t xml:space="preserve"> Surname </w:t>
    </w:r>
    <w:sdt>
      <w:sdtPr>
        <w:rPr>
          <w:rFonts w:ascii="Times New Roman" w:hAnsi="Times New Roman" w:cs="Times New Roman"/>
          <w:sz w:val="24"/>
          <w:szCs w:val="24"/>
        </w:rPr>
        <w:id w:val="-1805693308"/>
        <w:docPartObj>
          <w:docPartGallery w:val="Page Numbers (Top of Page)"/>
          <w:docPartUnique/>
        </w:docPartObj>
      </w:sdtPr>
      <w:sdtEndPr>
        <w:rPr>
          <w:noProof/>
        </w:rPr>
      </w:sdtEndPr>
      <w:sdtContent>
        <w:r w:rsidRPr="001816CA">
          <w:rPr>
            <w:rFonts w:ascii="Times New Roman" w:hAnsi="Times New Roman" w:cs="Times New Roman"/>
            <w:sz w:val="24"/>
            <w:szCs w:val="24"/>
          </w:rPr>
          <w:fldChar w:fldCharType="begin"/>
        </w:r>
        <w:r w:rsidRPr="001816CA">
          <w:rPr>
            <w:rFonts w:ascii="Times New Roman" w:hAnsi="Times New Roman" w:cs="Times New Roman"/>
            <w:sz w:val="24"/>
            <w:szCs w:val="24"/>
          </w:rPr>
          <w:instrText xml:space="preserve"> PAGE   \* MERGEFORMAT </w:instrText>
        </w:r>
        <w:r w:rsidRPr="001816CA">
          <w:rPr>
            <w:rFonts w:ascii="Times New Roman" w:hAnsi="Times New Roman" w:cs="Times New Roman"/>
            <w:sz w:val="24"/>
            <w:szCs w:val="24"/>
          </w:rPr>
          <w:fldChar w:fldCharType="separate"/>
        </w:r>
        <w:r w:rsidR="00036CF8">
          <w:rPr>
            <w:rFonts w:ascii="Times New Roman" w:hAnsi="Times New Roman" w:cs="Times New Roman"/>
            <w:noProof/>
            <w:sz w:val="24"/>
            <w:szCs w:val="24"/>
          </w:rPr>
          <w:t>1</w:t>
        </w:r>
        <w:r w:rsidRPr="001816CA">
          <w:rPr>
            <w:rFonts w:ascii="Times New Roman" w:hAnsi="Times New Roman" w:cs="Times New Roman"/>
            <w:noProof/>
            <w:sz w:val="24"/>
            <w:szCs w:val="24"/>
          </w:rPr>
          <w:fldChar w:fldCharType="end"/>
        </w:r>
      </w:sdtContent>
    </w:sdt>
  </w:p>
  <w:p w:rsidR="001816CA" w14:paraId="5A746FA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67487024"/>
    <w:multiLevelType w:val="hybridMultilevel"/>
    <w:tmpl w:val="478AF3C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6CA"/>
    <w:rsid w:val="00024E41"/>
    <w:rsid w:val="00036CF8"/>
    <w:rsid w:val="00081EAB"/>
    <w:rsid w:val="000D2353"/>
    <w:rsid w:val="000F5E61"/>
    <w:rsid w:val="001041D9"/>
    <w:rsid w:val="001816CA"/>
    <w:rsid w:val="001B0FEF"/>
    <w:rsid w:val="001F2C82"/>
    <w:rsid w:val="00211377"/>
    <w:rsid w:val="002256FD"/>
    <w:rsid w:val="00317266"/>
    <w:rsid w:val="00496439"/>
    <w:rsid w:val="00517960"/>
    <w:rsid w:val="005C7A88"/>
    <w:rsid w:val="00610976"/>
    <w:rsid w:val="006B677E"/>
    <w:rsid w:val="006D68B5"/>
    <w:rsid w:val="00740710"/>
    <w:rsid w:val="007A6054"/>
    <w:rsid w:val="0091636B"/>
    <w:rsid w:val="00985E27"/>
    <w:rsid w:val="00A25DC8"/>
    <w:rsid w:val="00AB5A0E"/>
    <w:rsid w:val="00AE050B"/>
    <w:rsid w:val="00B54A62"/>
    <w:rsid w:val="00C316D9"/>
    <w:rsid w:val="00CC219D"/>
    <w:rsid w:val="00CF544E"/>
    <w:rsid w:val="00CF64AC"/>
    <w:rsid w:val="00D5761E"/>
    <w:rsid w:val="00DA3E0C"/>
    <w:rsid w:val="00E17479"/>
    <w:rsid w:val="00F67BCE"/>
    <w:rsid w:val="00F85516"/>
    <w:rsid w:val="00FE22D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A79C93E"/>
  <w15:chartTrackingRefBased/>
  <w15:docId w15:val="{41A99ABC-35EF-43EE-8BC4-8EEAFBA57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16CA"/>
    <w:pPr>
      <w:tabs>
        <w:tab w:val="center" w:pos="4680"/>
        <w:tab w:val="right" w:pos="9360"/>
      </w:tabs>
      <w:spacing w:line="240" w:lineRule="auto"/>
    </w:pPr>
  </w:style>
  <w:style w:type="character" w:customStyle="1" w:styleId="HeaderChar">
    <w:name w:val="Header Char"/>
    <w:basedOn w:val="DefaultParagraphFont"/>
    <w:link w:val="Header"/>
    <w:uiPriority w:val="99"/>
    <w:rsid w:val="001816CA"/>
  </w:style>
  <w:style w:type="paragraph" w:styleId="Footer">
    <w:name w:val="footer"/>
    <w:basedOn w:val="Normal"/>
    <w:link w:val="FooterChar"/>
    <w:uiPriority w:val="99"/>
    <w:unhideWhenUsed/>
    <w:rsid w:val="001816CA"/>
    <w:pPr>
      <w:tabs>
        <w:tab w:val="center" w:pos="4680"/>
        <w:tab w:val="right" w:pos="9360"/>
      </w:tabs>
      <w:spacing w:line="240" w:lineRule="auto"/>
    </w:pPr>
  </w:style>
  <w:style w:type="character" w:customStyle="1" w:styleId="FooterChar">
    <w:name w:val="Footer Char"/>
    <w:basedOn w:val="DefaultParagraphFont"/>
    <w:link w:val="Footer"/>
    <w:uiPriority w:val="99"/>
    <w:rsid w:val="001816CA"/>
  </w:style>
  <w:style w:type="paragraph" w:styleId="NormalWeb">
    <w:name w:val="Normal (Web)"/>
    <w:basedOn w:val="Normal"/>
    <w:uiPriority w:val="99"/>
    <w:unhideWhenUsed/>
    <w:rsid w:val="001816C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816C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654</Words>
  <Characters>3734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Caroline</dc:creator>
  <cp:lastModifiedBy>muhoni</cp:lastModifiedBy>
  <cp:revision>2</cp:revision>
  <dcterms:created xsi:type="dcterms:W3CDTF">2021-10-01T12:45:00Z</dcterms:created>
  <dcterms:modified xsi:type="dcterms:W3CDTF">2021-10-01T12:45:00Z</dcterms:modified>
</cp:coreProperties>
</file>